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02" w:rsidRDefault="005D35D9">
      <w:pPr>
        <w:rPr>
          <w:rFonts w:ascii="ＭＳ 明朝" w:hAnsi="ＭＳ 明朝" w:cs="Arial"/>
          <w:b/>
          <w:szCs w:val="21"/>
        </w:rPr>
      </w:pPr>
      <w:r>
        <w:rPr>
          <w:rFonts w:ascii="ＭＳ 明朝" w:hAnsi="ＭＳ 明朝" w:cs="Arial" w:hint="eastAsia"/>
          <w:b/>
          <w:szCs w:val="21"/>
        </w:rPr>
        <w:t>技術翻訳</w:t>
      </w:r>
      <w:r w:rsidR="007C0702">
        <w:rPr>
          <w:rFonts w:ascii="ＭＳ 明朝" w:hAnsi="ＭＳ 明朝" w:cs="Arial" w:hint="eastAsia"/>
          <w:b/>
          <w:szCs w:val="21"/>
        </w:rPr>
        <w:t>専門講座</w:t>
      </w:r>
      <w:r>
        <w:rPr>
          <w:rFonts w:ascii="ＭＳ 明朝" w:hAnsi="ＭＳ 明朝" w:cs="Arial" w:hint="eastAsia"/>
          <w:b/>
          <w:szCs w:val="21"/>
        </w:rPr>
        <w:t xml:space="preserve">　</w:t>
      </w:r>
      <w:bookmarkStart w:id="0" w:name="_GoBack"/>
      <w:bookmarkEnd w:id="0"/>
      <w:r w:rsidR="007C0702">
        <w:rPr>
          <w:rFonts w:ascii="ＭＳ 明朝" w:hAnsi="ＭＳ 明朝" w:cs="Arial" w:hint="eastAsia"/>
          <w:b/>
          <w:szCs w:val="21"/>
        </w:rPr>
        <w:t>医薬コース（英訳）　サンプル課題</w:t>
      </w:r>
    </w:p>
    <w:p w:rsidR="007C0702" w:rsidRDefault="007C0702">
      <w:pPr>
        <w:rPr>
          <w:rFonts w:ascii="ＭＳ 明朝" w:hAnsi="ＭＳ 明朝" w:cs="Arial"/>
          <w:b/>
          <w:szCs w:val="21"/>
        </w:rPr>
      </w:pPr>
    </w:p>
    <w:p w:rsidR="007C0702" w:rsidRDefault="007C0702">
      <w:pPr>
        <w:adjustRightInd w:val="0"/>
        <w:snapToGrid w:val="0"/>
        <w:spacing w:line="360" w:lineRule="auto"/>
        <w:rPr>
          <w:rFonts w:ascii="Arial" w:eastAsia="ＭＳ Ｐ明朝" w:hAnsi="Arial" w:cs="Arial"/>
          <w:szCs w:val="21"/>
        </w:rPr>
      </w:pPr>
      <w:r>
        <w:rPr>
          <w:rFonts w:ascii="Arial" w:eastAsia="ＭＳ Ｐ明朝" w:hAnsi="Arial" w:cs="Arial"/>
          <w:szCs w:val="21"/>
        </w:rPr>
        <w:t>次の</w:t>
      </w:r>
      <w:r>
        <w:rPr>
          <w:rFonts w:ascii="Arial" w:eastAsia="ＭＳ Ｐ明朝" w:hAnsi="Arial" w:cs="Arial" w:hint="eastAsia"/>
          <w:szCs w:val="21"/>
        </w:rPr>
        <w:t>和文</w:t>
      </w:r>
      <w:r>
        <w:rPr>
          <w:rFonts w:ascii="Arial" w:eastAsia="ＭＳ Ｐ明朝" w:hAnsi="Arial" w:cs="Arial"/>
          <w:szCs w:val="21"/>
        </w:rPr>
        <w:t>を</w:t>
      </w:r>
      <w:r>
        <w:rPr>
          <w:rFonts w:ascii="Arial" w:eastAsia="ＭＳ Ｐ明朝" w:hAnsi="Arial" w:cs="Arial" w:hint="eastAsia"/>
          <w:szCs w:val="21"/>
        </w:rPr>
        <w:t>英訳</w:t>
      </w:r>
      <w:r>
        <w:rPr>
          <w:rFonts w:ascii="Arial" w:eastAsia="ＭＳ Ｐ明朝" w:hAnsi="Arial" w:cs="Arial"/>
          <w:szCs w:val="21"/>
        </w:rPr>
        <w:t>し</w:t>
      </w:r>
      <w:r>
        <w:rPr>
          <w:rFonts w:ascii="Arial" w:eastAsia="ＭＳ Ｐ明朝" w:hAnsi="Arial" w:cs="Arial" w:hint="eastAsia"/>
          <w:szCs w:val="21"/>
        </w:rPr>
        <w:t>、</w:t>
      </w:r>
      <w:r>
        <w:rPr>
          <w:rFonts w:ascii="Arial" w:eastAsia="ＭＳ Ｐ明朝" w:hAnsi="Arial" w:cs="Arial" w:hint="eastAsia"/>
          <w:szCs w:val="21"/>
        </w:rPr>
        <w:t>MS-Word</w:t>
      </w:r>
      <w:r>
        <w:rPr>
          <w:rFonts w:ascii="Arial" w:eastAsia="ＭＳ Ｐ明朝" w:hAnsi="Arial" w:cs="Arial" w:hint="eastAsia"/>
          <w:szCs w:val="21"/>
        </w:rPr>
        <w:t>形式ファイルで事務局答案係に</w:t>
      </w:r>
      <w:r>
        <w:rPr>
          <w:rFonts w:ascii="Arial" w:eastAsia="ＭＳ Ｐ明朝" w:hAnsi="Arial" w:cs="Arial"/>
          <w:szCs w:val="21"/>
        </w:rPr>
        <w:t>提出してください。</w:t>
      </w:r>
    </w:p>
    <w:p w:rsidR="007C0702" w:rsidRDefault="007C0702">
      <w:pPr>
        <w:ind w:firstLineChars="100" w:firstLine="210"/>
      </w:pPr>
    </w:p>
    <w:p w:rsidR="00F71DAE" w:rsidRPr="009C53D1" w:rsidRDefault="00F71DAE" w:rsidP="00F71DAE">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F71DAE" w:rsidRDefault="00F71DAE" w:rsidP="00F71DAE">
      <w:r>
        <w:rPr>
          <w:rFonts w:hint="eastAsia"/>
        </w:rPr>
        <w:t>高血圧患者の検査</w:t>
      </w:r>
    </w:p>
    <w:p w:rsidR="00F71DAE" w:rsidRDefault="00F71DAE" w:rsidP="00F71DAE">
      <w:pPr>
        <w:ind w:firstLineChars="100" w:firstLine="210"/>
      </w:pPr>
      <w:r>
        <w:rPr>
          <w:rFonts w:hint="eastAsia"/>
        </w:rPr>
        <w:t>高血圧患者の診察はまず詳細な問診から始まり、血圧測定や聴診・触診などの診察、肥満の判定が行われる。続いて、血圧・尿検査の他、胸部</w:t>
      </w:r>
      <w:r>
        <w:rPr>
          <w:rFonts w:hint="eastAsia"/>
        </w:rPr>
        <w:t>X</w:t>
      </w:r>
      <w:r>
        <w:rPr>
          <w:rFonts w:hint="eastAsia"/>
        </w:rPr>
        <w:t>線検査、心電図検査、眼底検査などが行われる。この時点で、血圧が低めで、合併症のないことが確認されれば、生活習慣修正の指導が行われる。</w:t>
      </w:r>
    </w:p>
    <w:p w:rsidR="00F71DAE" w:rsidRDefault="00F71DAE" w:rsidP="00F71DAE">
      <w:pPr>
        <w:ind w:firstLineChars="100" w:firstLine="210"/>
      </w:pPr>
      <w:r>
        <w:rPr>
          <w:rFonts w:hint="eastAsia"/>
        </w:rPr>
        <w:t>しかし、血圧がかなり高く合併症の疑いもあれば、その内容に応じた精密検査が行われることになる。これには、家庭血圧測定や</w:t>
      </w:r>
      <w:r>
        <w:rPr>
          <w:rFonts w:hint="eastAsia"/>
        </w:rPr>
        <w:t>24</w:t>
      </w:r>
      <w:r>
        <w:rPr>
          <w:rFonts w:hint="eastAsia"/>
        </w:rPr>
        <w:t>時間自由行動下血圧測定（</w:t>
      </w:r>
      <w:r>
        <w:rPr>
          <w:rFonts w:hint="eastAsia"/>
        </w:rPr>
        <w:t>ABPM</w:t>
      </w:r>
      <w:r>
        <w:rPr>
          <w:rFonts w:hint="eastAsia"/>
        </w:rPr>
        <w:t>）を含む血圧レベルの評価に加えて、新たなリスクとして最近注目されているメタボリックシンドロームや</w:t>
      </w:r>
      <w:r>
        <w:rPr>
          <w:rFonts w:hint="eastAsia"/>
        </w:rPr>
        <w:t>CKD</w:t>
      </w:r>
      <w:r>
        <w:rPr>
          <w:rFonts w:hint="eastAsia"/>
        </w:rPr>
        <w:t>に関連する因子と臓器障害（脳血管障害、心臓障害、腎臓疾患、末梢動脈疾患）の評価が含まれる。具体的には、超音波検査、</w:t>
      </w:r>
      <w:r>
        <w:rPr>
          <w:rFonts w:hint="eastAsia"/>
        </w:rPr>
        <w:t>CT</w:t>
      </w:r>
      <w:r>
        <w:rPr>
          <w:rFonts w:hint="eastAsia"/>
        </w:rPr>
        <w:t>検査、</w:t>
      </w:r>
      <w:r>
        <w:rPr>
          <w:rFonts w:hint="eastAsia"/>
        </w:rPr>
        <w:t>MRI</w:t>
      </w:r>
      <w:r>
        <w:rPr>
          <w:rFonts w:hint="eastAsia"/>
        </w:rPr>
        <w:t>検査などが行われる。</w:t>
      </w:r>
    </w:p>
    <w:p w:rsidR="007C0702" w:rsidRDefault="00F71DAE" w:rsidP="00F71DAE">
      <w:r>
        <w:rPr>
          <w:rFonts w:hint="eastAsia"/>
        </w:rPr>
        <w:t>なお、このような患者個人の心血管リスクを総合的に評価する検査のほかに、二次性高血圧を疑ってその診断のために行われる検査もある。</w:t>
      </w:r>
    </w:p>
    <w:p w:rsidR="00F71DAE" w:rsidRDefault="00F71DAE" w:rsidP="00F71DAE">
      <w:r>
        <w:rPr>
          <w:rFonts w:hint="eastAsia"/>
        </w:rPr>
        <w:t>（出典元：小室一成『高血圧』（羊土社、</w:t>
      </w:r>
      <w:r>
        <w:rPr>
          <w:rFonts w:hint="eastAsia"/>
        </w:rPr>
        <w:t>2009</w:t>
      </w:r>
      <w:r>
        <w:rPr>
          <w:rFonts w:hint="eastAsia"/>
        </w:rPr>
        <w:t>年）、</w:t>
      </w:r>
      <w:r>
        <w:rPr>
          <w:rFonts w:hint="eastAsia"/>
        </w:rPr>
        <w:t>p.30</w:t>
      </w:r>
      <w:r>
        <w:rPr>
          <w:rFonts w:hint="eastAsia"/>
        </w:rPr>
        <w:t>）</w:t>
      </w:r>
    </w:p>
    <w:p w:rsidR="00F71DAE" w:rsidRDefault="00F71DAE" w:rsidP="00F71DAE"/>
    <w:p w:rsidR="00F71DAE" w:rsidRDefault="00F71DAE" w:rsidP="00F71DAE">
      <w:pPr>
        <w:rPr>
          <w:rFonts w:ascii="Times New Roman" w:hAnsi="Times New Roman"/>
          <w:b/>
          <w:szCs w:val="21"/>
        </w:rPr>
      </w:pPr>
      <w:r w:rsidRPr="005F198E">
        <w:rPr>
          <w:rFonts w:ascii="Times New Roman" w:hAnsi="Times New Roman" w:hint="eastAsia"/>
          <w:b/>
          <w:szCs w:val="21"/>
        </w:rPr>
        <w:t>課題２</w:t>
      </w:r>
    </w:p>
    <w:p w:rsidR="00F71DAE" w:rsidRDefault="00F71DAE" w:rsidP="00F71DAE">
      <w:r>
        <w:rPr>
          <w:rFonts w:hint="eastAsia"/>
        </w:rPr>
        <w:t>多因子疾患としてのアルツハイマー病－原因遺伝子と危険因子</w:t>
      </w:r>
    </w:p>
    <w:p w:rsidR="00F71DAE" w:rsidRDefault="00F71DAE" w:rsidP="00F71DAE">
      <w:r>
        <w:rPr>
          <w:rFonts w:hint="eastAsia"/>
        </w:rPr>
        <w:t xml:space="preserve">　近年、認知症患者の人口は増加の一途をたどり、なかでもアルツハイマー病（</w:t>
      </w:r>
      <w:r>
        <w:rPr>
          <w:rFonts w:hint="eastAsia"/>
        </w:rPr>
        <w:t>Alzheimer</w:t>
      </w:r>
      <w:r>
        <w:rPr>
          <w:rFonts w:hint="eastAsia"/>
        </w:rPr>
        <w:t>’</w:t>
      </w:r>
      <w:r>
        <w:rPr>
          <w:rFonts w:hint="eastAsia"/>
        </w:rPr>
        <w:t>s disease : AD</w:t>
      </w:r>
      <w:r>
        <w:rPr>
          <w:rFonts w:hint="eastAsia"/>
        </w:rPr>
        <w:t>）の占める割合は大きく、早急な対策が迫られている。アルツハイマー病は今世紀初頭にドイツの医学者である</w:t>
      </w:r>
      <w:r>
        <w:rPr>
          <w:rFonts w:hint="eastAsia"/>
        </w:rPr>
        <w:t>Alzheimer</w:t>
      </w:r>
      <w:r>
        <w:rPr>
          <w:rFonts w:hint="eastAsia"/>
        </w:rPr>
        <w:t>が報告して以来、主として臨床的、病理学的、生化学的な研究が行われてきたが、その一義的な病因は不明であった。近年、とくにここ</w:t>
      </w:r>
      <w:r>
        <w:rPr>
          <w:rFonts w:hint="eastAsia"/>
        </w:rPr>
        <w:t>10</w:t>
      </w:r>
      <w:r>
        <w:rPr>
          <w:rFonts w:hint="eastAsia"/>
        </w:rPr>
        <w:t>年間の分子遺伝学の進歩により、これまで明らかでなかったアルツハイマー病の病因に関連した遺伝子が次々と明らかとなり、急速な進歩が認められている。</w:t>
      </w:r>
    </w:p>
    <w:p w:rsidR="00F71DAE" w:rsidRDefault="00F71DAE" w:rsidP="00F71DAE">
      <w:r>
        <w:rPr>
          <w:rFonts w:hint="eastAsia"/>
        </w:rPr>
        <w:t xml:space="preserve">　アルツハイマー病の大多数は明らかな家族歴のない孤発性アルツハイマー病であるが、少数例ではあるが常染色体優性遺伝を示す家族性アルツハイマー病（</w:t>
      </w:r>
      <w:r>
        <w:rPr>
          <w:rFonts w:hint="eastAsia"/>
        </w:rPr>
        <w:t>familial AD : FAD</w:t>
      </w:r>
      <w:r>
        <w:rPr>
          <w:rFonts w:hint="eastAsia"/>
        </w:rPr>
        <w:t>）が存在する。またこれらはそれぞれ発症年齢で</w:t>
      </w:r>
      <w:r>
        <w:rPr>
          <w:rFonts w:hint="eastAsia"/>
        </w:rPr>
        <w:t>65</w:t>
      </w:r>
      <w:r>
        <w:rPr>
          <w:rFonts w:hint="eastAsia"/>
        </w:rPr>
        <w:t>歳を境に（欧米では</w:t>
      </w:r>
      <w:r>
        <w:rPr>
          <w:rFonts w:hint="eastAsia"/>
        </w:rPr>
        <w:t>60</w:t>
      </w:r>
      <w:r>
        <w:rPr>
          <w:rFonts w:hint="eastAsia"/>
        </w:rPr>
        <w:t>歳を境とするこ</w:t>
      </w:r>
      <w:r>
        <w:rPr>
          <w:rFonts w:hint="eastAsia"/>
        </w:rPr>
        <w:lastRenderedPageBreak/>
        <w:t>とも多い）早発型と晩発型とに分類されている。アルツハイマー病の病因と関連した遺伝子は単一ではなく、複数の遺伝子が明らかとなっている。</w:t>
      </w:r>
    </w:p>
    <w:p w:rsidR="00F71DAE" w:rsidRDefault="00F71DAE" w:rsidP="00F71DAE">
      <w:r>
        <w:rPr>
          <w:rFonts w:hint="eastAsia"/>
        </w:rPr>
        <w:t>（出典：井原康夫　編『アルツハイマー病の新しい展開』（羊土社、</w:t>
      </w:r>
      <w:r>
        <w:rPr>
          <w:rFonts w:hint="eastAsia"/>
        </w:rPr>
        <w:t>1999</w:t>
      </w:r>
      <w:r>
        <w:rPr>
          <w:rFonts w:hint="eastAsia"/>
        </w:rPr>
        <w:t>年）、</w:t>
      </w:r>
      <w:r>
        <w:rPr>
          <w:rFonts w:hint="eastAsia"/>
        </w:rPr>
        <w:t>p.34</w:t>
      </w:r>
      <w:r>
        <w:rPr>
          <w:rFonts w:hint="eastAsia"/>
        </w:rPr>
        <w:t>）</w:t>
      </w:r>
    </w:p>
    <w:p w:rsidR="00F71DAE" w:rsidRPr="00F71DAE" w:rsidRDefault="00F71DAE" w:rsidP="00F71DAE"/>
    <w:p w:rsidR="00F71DAE" w:rsidRPr="00F71DAE" w:rsidRDefault="00F71DAE" w:rsidP="00F71DAE">
      <w:pPr>
        <w:rPr>
          <w:lang w:eastAsia="zh-TW"/>
        </w:rPr>
      </w:pPr>
    </w:p>
    <w:sectPr w:rsidR="00F71DAE" w:rsidRPr="00F71DAE">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A0" w:rsidRDefault="00CD33A0">
      <w:r>
        <w:separator/>
      </w:r>
    </w:p>
  </w:endnote>
  <w:endnote w:type="continuationSeparator" w:id="0">
    <w:p w:rsidR="00CD33A0" w:rsidRDefault="00C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A0" w:rsidRDefault="00CD33A0">
      <w:r>
        <w:separator/>
      </w:r>
    </w:p>
  </w:footnote>
  <w:footnote w:type="continuationSeparator" w:id="0">
    <w:p w:rsidR="00CD33A0" w:rsidRDefault="00CD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89"/>
    <w:rsid w:val="002D0C65"/>
    <w:rsid w:val="005D35D9"/>
    <w:rsid w:val="007C0702"/>
    <w:rsid w:val="00AB5338"/>
    <w:rsid w:val="00B9101D"/>
    <w:rsid w:val="00CD33A0"/>
    <w:rsid w:val="00CF3B89"/>
    <w:rsid w:val="00F7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文字)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3</cp:revision>
  <dcterms:created xsi:type="dcterms:W3CDTF">2017-03-20T22:01:00Z</dcterms:created>
  <dcterms:modified xsi:type="dcterms:W3CDTF">2017-03-20T22:02:00Z</dcterms:modified>
</cp:coreProperties>
</file>